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29EA1B7D"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847B71">
        <w:rPr>
          <w:color w:val="808080" w:themeColor="background1" w:themeShade="80"/>
          <w:sz w:val="32"/>
          <w:szCs w:val="32"/>
          <w:lang w:val="en-US"/>
        </w:rPr>
        <w:t>E08</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w:t>
      </w:r>
      <w:proofErr w:type="spellStart"/>
      <w:r w:rsidR="00286EE5" w:rsidRPr="0013778A">
        <w:rPr>
          <w:rFonts w:eastAsiaTheme="minorHAnsi"/>
        </w:rPr>
        <w:t>cms</w:t>
      </w:r>
      <w:proofErr w:type="spellEnd"/>
      <w:r w:rsidR="00286EE5" w:rsidRPr="0013778A">
        <w:rPr>
          <w:rFonts w:eastAsiaTheme="minorHAnsi"/>
        </w:rPr>
        <w:t xml:space="preserve">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w:t>
      </w:r>
      <w:proofErr w:type="spellStart"/>
      <w:r w:rsidRPr="0013778A">
        <w:rPr>
          <w:rFonts w:eastAsiaTheme="minorHAnsi"/>
        </w:rPr>
        <w:t>sobreexcavación</w:t>
      </w:r>
      <w:proofErr w:type="spellEnd"/>
      <w:r w:rsidRPr="0013778A">
        <w:rPr>
          <w:rFonts w:eastAsiaTheme="minorHAnsi"/>
        </w:rPr>
        <w:t xml:space="preserve">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w:t>
      </w:r>
      <w:proofErr w:type="spellStart"/>
      <w:r w:rsidRPr="0013778A">
        <w:rPr>
          <w:rFonts w:eastAsiaTheme="minorHAnsi"/>
        </w:rPr>
        <w:t>Bolldozer</w:t>
      </w:r>
      <w:proofErr w:type="spellEnd"/>
      <w:r w:rsidRPr="0013778A">
        <w:rPr>
          <w:rFonts w:eastAsiaTheme="minorHAnsi"/>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w:t>
      </w:r>
      <w:proofErr w:type="spellStart"/>
      <w:r w:rsidRPr="0013778A">
        <w:rPr>
          <w:rFonts w:eastAsiaTheme="minorHAnsi"/>
        </w:rPr>
        <w:t>subdrenes</w:t>
      </w:r>
      <w:proofErr w:type="spellEnd"/>
      <w:r w:rsidRPr="0013778A">
        <w:rPr>
          <w:rFonts w:eastAsiaTheme="minorHAnsi"/>
        </w:rPr>
        <w:t xml:space="preserve">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w:t>
      </w:r>
      <w:proofErr w:type="spellStart"/>
      <w:r w:rsidRPr="0013778A">
        <w:rPr>
          <w:rFonts w:eastAsiaTheme="minorHAnsi"/>
        </w:rPr>
        <w:t>sobreexcavaciones</w:t>
      </w:r>
      <w:proofErr w:type="spellEnd"/>
      <w:r w:rsidRPr="0013778A">
        <w:rPr>
          <w:rFonts w:eastAsiaTheme="minorHAnsi"/>
        </w:rPr>
        <w:t xml:space="preserve">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w:t>
      </w:r>
      <w:proofErr w:type="spellStart"/>
      <w:r w:rsidRPr="0013778A">
        <w:rPr>
          <w:rFonts w:eastAsiaTheme="minorHAnsi"/>
        </w:rPr>
        <w:t>sobreexcavaciones</w:t>
      </w:r>
      <w:proofErr w:type="spellEnd"/>
      <w:r w:rsidRPr="0013778A">
        <w:rPr>
          <w:rFonts w:eastAsiaTheme="minorHAnsi"/>
        </w:rPr>
        <w:t xml:space="preserve"> en zonas donde se emplacen fundaciones, se deberá rellenar con hormigón pobre o bien con relleno estructural descrito en este mismo documento. Los costos asociados a las </w:t>
      </w:r>
      <w:proofErr w:type="spellStart"/>
      <w:r w:rsidRPr="0013778A">
        <w:rPr>
          <w:rFonts w:eastAsiaTheme="minorHAnsi"/>
        </w:rPr>
        <w:t>sobreexcavaciones</w:t>
      </w:r>
      <w:proofErr w:type="spellEnd"/>
      <w:r w:rsidRPr="0013778A">
        <w:rPr>
          <w:rFonts w:eastAsiaTheme="minorHAnsi"/>
        </w:rPr>
        <w:t xml:space="preserve">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w:t>
      </w:r>
      <w:proofErr w:type="spellStart"/>
      <w:r w:rsidRPr="00EC7F88">
        <w:rPr>
          <w:rFonts w:eastAsiaTheme="minorHAnsi" w:cstheme="majorHAnsi"/>
          <w:szCs w:val="22"/>
          <w:lang w:val="es-CL" w:eastAsia="en-US"/>
        </w:rPr>
        <w:t>sobreexcavaciones</w:t>
      </w:r>
      <w:proofErr w:type="spellEnd"/>
      <w:r w:rsidRPr="00EC7F88">
        <w:rPr>
          <w:rFonts w:eastAsiaTheme="minorHAnsi" w:cstheme="majorHAnsi"/>
          <w:szCs w:val="22"/>
          <w:lang w:val="es-CL" w:eastAsia="en-US"/>
        </w:rPr>
        <w:t xml:space="preserve">.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w:t>
      </w:r>
      <w:proofErr w:type="spellStart"/>
      <w:r w:rsidRPr="00EC7F88">
        <w:rPr>
          <w:rFonts w:eastAsiaTheme="minorHAnsi" w:cstheme="majorHAnsi"/>
          <w:szCs w:val="22"/>
          <w:lang w:val="es-CL" w:eastAsia="en-US"/>
        </w:rPr>
        <w:t>napa</w:t>
      </w:r>
      <w:proofErr w:type="spellEnd"/>
      <w:r w:rsidRPr="00EC7F88">
        <w:rPr>
          <w:rFonts w:eastAsiaTheme="minorHAnsi" w:cstheme="majorHAnsi"/>
          <w:szCs w:val="22"/>
          <w:lang w:val="es-CL" w:eastAsia="en-US"/>
        </w:rPr>
        <w:t xml:space="preserve">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proofErr w:type="gramStart"/>
            <w:r w:rsidRPr="00567850">
              <w:rPr>
                <w:rFonts w:cstheme="majorHAnsi"/>
              </w:rPr>
              <w:t>3”*</w:t>
            </w:r>
            <w:proofErr w:type="gramEnd"/>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w:t>
      </w:r>
      <w:proofErr w:type="spellStart"/>
      <w:r w:rsidRPr="00EC7F88">
        <w:rPr>
          <w:rFonts w:eastAsiaTheme="minorHAnsi" w:cstheme="majorHAnsi"/>
          <w:szCs w:val="22"/>
          <w:lang w:val="es-CL" w:eastAsia="en-US"/>
        </w:rPr>
        <w:t>sobretamaño</w:t>
      </w:r>
      <w:proofErr w:type="spellEnd"/>
      <w:r w:rsidRPr="00EC7F88">
        <w:rPr>
          <w:rFonts w:eastAsiaTheme="minorHAnsi" w:cstheme="majorHAnsi"/>
          <w:szCs w:val="22"/>
          <w:lang w:val="es-CL" w:eastAsia="en-US"/>
        </w:rPr>
        <w:t xml:space="preserve">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w:t>
      </w:r>
      <w:proofErr w:type="spellStart"/>
      <w:r w:rsidR="00286EE5" w:rsidRPr="00B23CBA">
        <w:rPr>
          <w:rFonts w:eastAsiaTheme="minorHAnsi" w:cstheme="majorHAnsi"/>
          <w:szCs w:val="22"/>
          <w:lang w:val="es-CL" w:eastAsia="en-US"/>
        </w:rPr>
        <w:t>mm.</w:t>
      </w:r>
      <w:proofErr w:type="spellEnd"/>
      <w:r w:rsidR="00286EE5" w:rsidRPr="00B23CBA">
        <w:rPr>
          <w:rFonts w:eastAsiaTheme="minorHAnsi" w:cstheme="majorHAnsi"/>
          <w:szCs w:val="22"/>
          <w:lang w:val="es-CL" w:eastAsia="en-US"/>
        </w:rPr>
        <w:t xml:space="preserve">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w:t>
      </w:r>
      <w:proofErr w:type="spellStart"/>
      <w:r w:rsidRPr="0013778A">
        <w:rPr>
          <w:rFonts w:eastAsiaTheme="minorHAnsi"/>
        </w:rPr>
        <w:t>cms</w:t>
      </w:r>
      <w:proofErr w:type="spellEnd"/>
      <w:r w:rsidRPr="0013778A">
        <w:rPr>
          <w:rFonts w:eastAsiaTheme="minorHAnsi"/>
        </w:rPr>
        <w:t xml:space="preserve">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r>
      <w:proofErr w:type="spellStart"/>
      <w:r w:rsidRPr="00584F88">
        <w:rPr>
          <w:rFonts w:eastAsiaTheme="minorHAnsi" w:cstheme="majorHAnsi"/>
          <w:szCs w:val="22"/>
          <w:lang w:val="es-CL" w:eastAsia="en-US"/>
        </w:rPr>
        <w:t>Dp</w:t>
      </w:r>
      <w:proofErr w:type="spellEnd"/>
      <w:r w:rsidRPr="00584F88">
        <w:rPr>
          <w:rFonts w:eastAsiaTheme="minorHAnsi" w:cstheme="majorHAnsi"/>
          <w:szCs w:val="22"/>
          <w:lang w:val="es-CL" w:eastAsia="en-US"/>
        </w:rPr>
        <w:t>: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 xml:space="preserve">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w:t>
      </w:r>
      <w:proofErr w:type="spellStart"/>
      <w:r w:rsidRPr="0013778A">
        <w:rPr>
          <w:rFonts w:eastAsiaTheme="minorHAnsi"/>
        </w:rPr>
        <w:t>mm.</w:t>
      </w:r>
      <w:proofErr w:type="spellEnd"/>
      <w:r w:rsidRPr="0013778A">
        <w:rPr>
          <w:rFonts w:eastAsiaTheme="minorHAnsi"/>
        </w:rPr>
        <w:t xml:space="preserve">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w:t>
      </w:r>
      <w:proofErr w:type="spellStart"/>
      <w:r w:rsidRPr="00596E59">
        <w:rPr>
          <w:rFonts w:eastAsiaTheme="minorHAnsi" w:cstheme="majorHAnsi"/>
          <w:szCs w:val="22"/>
          <w:lang w:val="es-CL" w:eastAsia="en-US"/>
        </w:rPr>
        <w:t>mm.</w:t>
      </w:r>
      <w:proofErr w:type="spellEnd"/>
      <w:r w:rsidRPr="00596E59">
        <w:rPr>
          <w:rFonts w:eastAsiaTheme="minorHAnsi" w:cstheme="majorHAnsi"/>
          <w:szCs w:val="22"/>
          <w:lang w:val="es-CL" w:eastAsia="en-US"/>
        </w:rPr>
        <w:t xml:space="preserve"> En el coronamiento del terraplén solo se aceptarán capas de 0,30 m y el tamaño máximo no será superior a 100 </w:t>
      </w:r>
      <w:proofErr w:type="spellStart"/>
      <w:r w:rsidRPr="00596E59">
        <w:rPr>
          <w:rFonts w:eastAsiaTheme="minorHAnsi" w:cstheme="majorHAnsi"/>
          <w:szCs w:val="22"/>
          <w:lang w:val="es-CL" w:eastAsia="en-US"/>
        </w:rPr>
        <w:t>mm.</w:t>
      </w:r>
      <w:proofErr w:type="spellEnd"/>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taludes de los terraplenes de plataforma tendrán una inclinación uniforme de 3:2 (</w:t>
      </w:r>
      <w:proofErr w:type="gramStart"/>
      <w:r w:rsidRPr="00596E59">
        <w:rPr>
          <w:rFonts w:eastAsiaTheme="minorHAnsi" w:cstheme="majorHAnsi"/>
          <w:szCs w:val="22"/>
          <w:lang w:val="es-CL" w:eastAsia="en-US"/>
        </w:rPr>
        <w:t>H:V</w:t>
      </w:r>
      <w:proofErr w:type="gramEnd"/>
      <w:r w:rsidRPr="00596E59">
        <w:rPr>
          <w:rFonts w:eastAsiaTheme="minorHAnsi" w:cstheme="majorHAnsi"/>
          <w:szCs w:val="22"/>
          <w:lang w:val="es-CL" w:eastAsia="en-US"/>
        </w:rPr>
        <w:t xml:space="preserve">),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proofErr w:type="gramStart"/>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proofErr w:type="gramEnd"/>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espesores de la carpeta de rodadura dependerán del CBR de la subrasante. En la tabla Nº2 se presentan espesores de la carpeta de rodadura recomendados por el </w:t>
      </w:r>
      <w:proofErr w:type="spellStart"/>
      <w:r w:rsidRPr="00596E59">
        <w:rPr>
          <w:rFonts w:eastAsiaTheme="minorHAnsi" w:cstheme="majorHAnsi"/>
          <w:szCs w:val="22"/>
          <w:lang w:val="es-CL" w:eastAsia="en-US"/>
        </w:rPr>
        <w:t>Departament</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of</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the</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Army</w:t>
      </w:r>
      <w:proofErr w:type="spellEnd"/>
      <w:r w:rsidRPr="00596E59">
        <w:rPr>
          <w:rFonts w:eastAsiaTheme="minorHAnsi" w:cstheme="majorHAnsi"/>
          <w:szCs w:val="22"/>
          <w:lang w:val="es-CL" w:eastAsia="en-US"/>
        </w:rPr>
        <w:t xml:space="preserve"> &amp; Air </w:t>
      </w:r>
      <w:proofErr w:type="spellStart"/>
      <w:r w:rsidRPr="00596E59">
        <w:rPr>
          <w:rFonts w:eastAsiaTheme="minorHAnsi" w:cstheme="majorHAnsi"/>
          <w:szCs w:val="22"/>
          <w:lang w:val="es-CL" w:eastAsia="en-US"/>
        </w:rPr>
        <w:t>Force</w:t>
      </w:r>
      <w:proofErr w:type="spellEnd"/>
      <w:r w:rsidRPr="00596E59">
        <w:rPr>
          <w:rFonts w:eastAsiaTheme="minorHAnsi" w:cstheme="majorHAnsi"/>
          <w:szCs w:val="22"/>
          <w:lang w:val="es-CL" w:eastAsia="en-US"/>
        </w:rPr>
        <w:t xml:space="preserv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proofErr w:type="gramStart"/>
            <w:r w:rsidRPr="00596E59">
              <w:rPr>
                <w:rFonts w:cstheme="majorHAnsi"/>
              </w:rPr>
              <w:t>CBR(</w:t>
            </w:r>
            <w:proofErr w:type="gramEnd"/>
            <w:r w:rsidRPr="00596E59">
              <w:rPr>
                <w:rFonts w:cstheme="majorHAnsi"/>
              </w:rPr>
              <w:t>%)</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proofErr w:type="spellStart"/>
            <w:r w:rsidRPr="00596E59">
              <w:rPr>
                <w:rFonts w:cstheme="majorHAnsi"/>
                <w:lang w:val="es-CL"/>
              </w:rPr>
              <w:t>n.r</w:t>
            </w:r>
            <w:proofErr w:type="spellEnd"/>
            <w:r w:rsidRPr="00596E59">
              <w:rPr>
                <w:rFonts w:cstheme="majorHAnsi"/>
                <w:lang w:val="es-CL"/>
              </w:rPr>
              <w:t xml:space="preserve">: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proofErr w:type="gramStart"/>
      <w:r w:rsidRPr="00FE6C3B">
        <w:t>Contenido  mínimo</w:t>
      </w:r>
      <w:proofErr w:type="gramEnd"/>
      <w:r w:rsidRPr="00FE6C3B">
        <w:t xml:space="preserve"> de chancado del 50% </w:t>
      </w:r>
    </w:p>
    <w:p w14:paraId="08E41089" w14:textId="3D15EA9B" w:rsidR="00286EE5" w:rsidRPr="005E1B2F" w:rsidRDefault="00286EE5">
      <w:pPr>
        <w:pStyle w:val="Prrafodelista"/>
        <w:numPr>
          <w:ilvl w:val="0"/>
          <w:numId w:val="8"/>
        </w:numPr>
        <w:ind w:left="1854"/>
        <w:rPr>
          <w:lang w:val="en-US"/>
        </w:rPr>
      </w:pPr>
      <w:proofErr w:type="spellStart"/>
      <w:r w:rsidRPr="005E1B2F">
        <w:rPr>
          <w:lang w:val="en-US"/>
        </w:rPr>
        <w:t>Soporte</w:t>
      </w:r>
      <w:proofErr w:type="spellEnd"/>
      <w:r w:rsidRPr="005E1B2F">
        <w:rPr>
          <w:lang w:val="en-US"/>
        </w:rPr>
        <w:t xml:space="preserv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 xml:space="preserve">Los agregados gruesos, retenidos sobre tamiz 5 mm (Nº4), deben ser partículas resistentes, durables, constituidas por fragmentos de roca, grava o escoria. Materiales que se quiebren con los ciclos hielo </w:t>
      </w:r>
      <w:proofErr w:type="gramStart"/>
      <w:r w:rsidRPr="00FE6C3B">
        <w:t>-  deshielo</w:t>
      </w:r>
      <w:proofErr w:type="gramEnd"/>
      <w:r w:rsidRPr="00FE6C3B">
        <w:t xml:space="preserve"> y humedad -  sequedad no deben ser utilizados</w:t>
      </w:r>
    </w:p>
    <w:p w14:paraId="2B1B577D" w14:textId="77777777" w:rsidR="00286EE5" w:rsidRPr="00FE6C3B" w:rsidRDefault="00286EE5">
      <w:pPr>
        <w:pStyle w:val="Prrafodelista"/>
        <w:numPr>
          <w:ilvl w:val="0"/>
          <w:numId w:val="8"/>
        </w:numPr>
        <w:ind w:left="1854"/>
      </w:pPr>
      <w:r w:rsidRPr="00FE6C3B">
        <w:t xml:space="preserve">Los agregados finos, que pasan por el tamiz 5 mm (Nº4), deben estar constituidos por arenas naturales o trituradas y por partículas minerales que pasan por tamiz 0,08 mm (Nº200). Las fracciones que pasan por el tamiz 0,08 mm (Nº200) no deberán ser mayores que los dos tercios </w:t>
      </w:r>
      <w:proofErr w:type="gramStart"/>
      <w:r w:rsidRPr="00FE6C3B">
        <w:t>dela</w:t>
      </w:r>
      <w:proofErr w:type="gramEnd"/>
      <w:r w:rsidRPr="00FE6C3B">
        <w:t xml:space="preserve"> fracción que pasa por el tamiz 0,5 mm (Nº40)</w:t>
      </w:r>
    </w:p>
    <w:p w14:paraId="52F82635" w14:textId="77777777" w:rsidR="00286EE5" w:rsidRPr="005E1B2F" w:rsidRDefault="00286EE5">
      <w:pPr>
        <w:pStyle w:val="Prrafodelista"/>
        <w:numPr>
          <w:ilvl w:val="0"/>
          <w:numId w:val="8"/>
        </w:numPr>
        <w:ind w:left="1854"/>
        <w:rPr>
          <w:lang w:val="en-US"/>
        </w:rPr>
      </w:pP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r w:rsidRPr="005E1B2F">
        <w:rPr>
          <w:lang w:val="en-US"/>
        </w:rPr>
        <w:t xml:space="preserve"> </w:t>
      </w:r>
      <w:proofErr w:type="spellStart"/>
      <w:r w:rsidRPr="005E1B2F">
        <w:rPr>
          <w:lang w:val="en-US"/>
        </w:rPr>
        <w:t>máximo</w:t>
      </w:r>
      <w:proofErr w:type="spellEnd"/>
      <w:r w:rsidRPr="005E1B2F">
        <w:rPr>
          <w:lang w:val="en-US"/>
        </w:rPr>
        <w:t xml:space="preserve"> de 35</w:t>
      </w:r>
    </w:p>
    <w:p w14:paraId="14DEAA41" w14:textId="77777777" w:rsidR="00286EE5" w:rsidRPr="005E1B2F" w:rsidRDefault="00286EE5">
      <w:pPr>
        <w:pStyle w:val="Prrafodelista"/>
        <w:numPr>
          <w:ilvl w:val="0"/>
          <w:numId w:val="8"/>
        </w:numPr>
        <w:ind w:left="1854"/>
        <w:rPr>
          <w:lang w:val="en-US"/>
        </w:rPr>
      </w:pPr>
      <w:proofErr w:type="spellStart"/>
      <w:r w:rsidRPr="005E1B2F">
        <w:rPr>
          <w:lang w:val="en-US"/>
        </w:rPr>
        <w:t>Índice</w:t>
      </w:r>
      <w:proofErr w:type="spellEnd"/>
      <w:r w:rsidRPr="005E1B2F">
        <w:rPr>
          <w:lang w:val="en-US"/>
        </w:rPr>
        <w:t xml:space="preserve"> de </w:t>
      </w:r>
      <w:proofErr w:type="spellStart"/>
      <w:r w:rsidRPr="005E1B2F">
        <w:rPr>
          <w:lang w:val="en-US"/>
        </w:rPr>
        <w:t>Plasticidad</w:t>
      </w:r>
      <w:proofErr w:type="spellEnd"/>
      <w:r w:rsidRPr="005E1B2F">
        <w:rPr>
          <w:lang w:val="en-US"/>
        </w:rPr>
        <w:t xml:space="preserve">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xml:space="preserve">, y terminarse con rodillos lisos o neumáticos. El </w:t>
      </w:r>
      <w:proofErr w:type="spellStart"/>
      <w:r w:rsidRPr="005E1B2F">
        <w:rPr>
          <w:rFonts w:eastAsiaTheme="minorHAnsi" w:cstheme="majorHAnsi"/>
          <w:szCs w:val="22"/>
          <w:lang w:val="es-CL" w:eastAsia="en-US"/>
        </w:rPr>
        <w:t>rodillado</w:t>
      </w:r>
      <w:proofErr w:type="spellEnd"/>
      <w:r w:rsidRPr="005E1B2F">
        <w:rPr>
          <w:rFonts w:eastAsiaTheme="minorHAnsi" w:cstheme="majorHAnsi"/>
          <w:szCs w:val="22"/>
          <w:lang w:val="es-CL" w:eastAsia="en-US"/>
        </w:rPr>
        <w:t xml:space="preserve">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w:t>
      </w:r>
      <w:proofErr w:type="spellStart"/>
      <w:r w:rsidRPr="005E1B2F">
        <w:rPr>
          <w:rFonts w:eastAsiaTheme="minorHAnsi" w:cstheme="majorHAnsi"/>
          <w:szCs w:val="22"/>
          <w:lang w:val="es-CL" w:eastAsia="en-US"/>
        </w:rPr>
        <w:t>cms</w:t>
      </w:r>
      <w:proofErr w:type="spellEnd"/>
      <w:r w:rsidRPr="005E1B2F">
        <w:rPr>
          <w:rFonts w:eastAsiaTheme="minorHAnsi" w:cstheme="majorHAnsi"/>
          <w:szCs w:val="22"/>
          <w:lang w:val="es-CL" w:eastAsia="en-US"/>
        </w:rPr>
        <w:t xml:space="preserve">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se detectan áreas a un nivel inferior a la tolerancia especificada, éstas deberán escarificarse en un espesor mínimo de 0,10 m para posteriormente agregar material, regar,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proofErr w:type="spellStart"/>
      <w:r w:rsidRPr="005E1B2F">
        <w:rPr>
          <w:lang w:val="en-US"/>
        </w:rPr>
        <w:t>NCh</w:t>
      </w:r>
      <w:proofErr w:type="spellEnd"/>
      <w:r w:rsidRPr="005E1B2F">
        <w:rPr>
          <w:lang w:val="en-US"/>
        </w:rPr>
        <w:t xml:space="preserve"> 1517/1: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p>
    <w:p w14:paraId="7EA54A0C" w14:textId="77777777" w:rsidR="00286EE5" w:rsidRPr="005E1B2F" w:rsidRDefault="00286EE5">
      <w:pPr>
        <w:pStyle w:val="Prrafodelista"/>
        <w:numPr>
          <w:ilvl w:val="0"/>
          <w:numId w:val="8"/>
        </w:numPr>
        <w:ind w:left="1854"/>
        <w:rPr>
          <w:lang w:val="en-US"/>
        </w:rPr>
      </w:pPr>
      <w:proofErr w:type="spellStart"/>
      <w:r w:rsidRPr="005E1B2F">
        <w:rPr>
          <w:lang w:val="en-US"/>
        </w:rPr>
        <w:lastRenderedPageBreak/>
        <w:t>NCh</w:t>
      </w:r>
      <w:proofErr w:type="spellEnd"/>
      <w:r w:rsidRPr="005E1B2F">
        <w:rPr>
          <w:lang w:val="en-US"/>
        </w:rPr>
        <w:t xml:space="preserve"> 1517/2: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plástico</w:t>
      </w:r>
      <w:proofErr w:type="spellEnd"/>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 xml:space="preserve">NCh1534/2: </w:t>
      </w:r>
      <w:proofErr w:type="spellStart"/>
      <w:r w:rsidRPr="005E1B2F">
        <w:rPr>
          <w:lang w:val="en-US"/>
        </w:rPr>
        <w:t>Ensayo</w:t>
      </w:r>
      <w:proofErr w:type="spellEnd"/>
      <w:r w:rsidRPr="005E1B2F">
        <w:rPr>
          <w:lang w:val="en-US"/>
        </w:rPr>
        <w:t xml:space="preserve"> Proctor </w:t>
      </w:r>
      <w:proofErr w:type="spellStart"/>
      <w:r w:rsidRPr="005E1B2F">
        <w:rPr>
          <w:lang w:val="en-US"/>
        </w:rPr>
        <w:t>Modificado</w:t>
      </w:r>
      <w:proofErr w:type="spellEnd"/>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 xml:space="preserve">NCh152: </w:t>
      </w:r>
      <w:proofErr w:type="spellStart"/>
      <w:r w:rsidRPr="005E1B2F">
        <w:rPr>
          <w:lang w:val="en-US"/>
        </w:rPr>
        <w:t>Densidad</w:t>
      </w:r>
      <w:proofErr w:type="spellEnd"/>
      <w:r w:rsidRPr="005E1B2F">
        <w:rPr>
          <w:lang w:val="en-US"/>
        </w:rPr>
        <w:t xml:space="preserve"> de </w:t>
      </w:r>
      <w:proofErr w:type="spellStart"/>
      <w:r w:rsidRPr="005E1B2F">
        <w:rPr>
          <w:lang w:val="en-US"/>
        </w:rPr>
        <w:t>Partículas</w:t>
      </w:r>
      <w:proofErr w:type="spellEnd"/>
      <w:r w:rsidRPr="005E1B2F">
        <w:rPr>
          <w:lang w:val="en-US"/>
        </w:rPr>
        <w:t xml:space="preserve"> </w:t>
      </w:r>
      <w:proofErr w:type="spellStart"/>
      <w:r w:rsidRPr="005E1B2F">
        <w:rPr>
          <w:lang w:val="en-US"/>
        </w:rPr>
        <w:t>Sólidas</w:t>
      </w:r>
      <w:proofErr w:type="spellEnd"/>
    </w:p>
    <w:p w14:paraId="5B6CCA72" w14:textId="77777777" w:rsidR="00286EE5" w:rsidRPr="005E1B2F" w:rsidRDefault="00286EE5">
      <w:pPr>
        <w:pStyle w:val="Prrafodelista"/>
        <w:numPr>
          <w:ilvl w:val="0"/>
          <w:numId w:val="8"/>
        </w:numPr>
        <w:ind w:left="1854"/>
        <w:rPr>
          <w:lang w:val="en-US"/>
        </w:rPr>
      </w:pPr>
      <w:r w:rsidRPr="005E1B2F">
        <w:rPr>
          <w:lang w:val="en-US"/>
        </w:rPr>
        <w:t xml:space="preserve">ASTM D 4253: </w:t>
      </w:r>
      <w:proofErr w:type="spellStart"/>
      <w:r w:rsidRPr="005E1B2F">
        <w:rPr>
          <w:lang w:val="en-US"/>
        </w:rPr>
        <w:t>Densidad</w:t>
      </w:r>
      <w:proofErr w:type="spellEnd"/>
      <w:r w:rsidRPr="005E1B2F">
        <w:rPr>
          <w:lang w:val="en-US"/>
        </w:rPr>
        <w:t xml:space="preserve"> Máxima Seca</w:t>
      </w:r>
    </w:p>
    <w:p w14:paraId="779F5FDC" w14:textId="77777777" w:rsidR="00286EE5" w:rsidRPr="005E1B2F" w:rsidRDefault="00286EE5">
      <w:pPr>
        <w:pStyle w:val="Prrafodelista"/>
        <w:numPr>
          <w:ilvl w:val="0"/>
          <w:numId w:val="8"/>
        </w:numPr>
        <w:ind w:left="1854"/>
        <w:rPr>
          <w:lang w:val="en-US"/>
        </w:rPr>
      </w:pPr>
      <w:r w:rsidRPr="005E1B2F">
        <w:rPr>
          <w:lang w:val="en-US"/>
        </w:rPr>
        <w:t xml:space="preserve">ASTM D 4254: </w:t>
      </w:r>
      <w:proofErr w:type="spellStart"/>
      <w:r w:rsidRPr="005E1B2F">
        <w:rPr>
          <w:lang w:val="en-US"/>
        </w:rPr>
        <w:t>Densidad</w:t>
      </w:r>
      <w:proofErr w:type="spellEnd"/>
      <w:r w:rsidRPr="005E1B2F">
        <w:rPr>
          <w:lang w:val="en-US"/>
        </w:rPr>
        <w:t xml:space="preserve"> </w:t>
      </w:r>
      <w:proofErr w:type="spellStart"/>
      <w:r w:rsidRPr="005E1B2F">
        <w:rPr>
          <w:lang w:val="en-US"/>
        </w:rPr>
        <w:t>Mínima</w:t>
      </w:r>
      <w:proofErr w:type="spellEnd"/>
      <w:r w:rsidRPr="005E1B2F">
        <w:rPr>
          <w:lang w:val="en-US"/>
        </w:rPr>
        <w:t xml:space="preserve">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 xml:space="preserve">MC volumen 8 8.502.1 Determinación de Densidad </w:t>
      </w:r>
      <w:proofErr w:type="spellStart"/>
      <w:r w:rsidRPr="00FE6C3B">
        <w:t>in-situ</w:t>
      </w:r>
      <w:proofErr w:type="spellEnd"/>
      <w:r w:rsidRPr="00FE6C3B">
        <w:t xml:space="preserve"> por Método Nuclear</w:t>
      </w:r>
    </w:p>
    <w:p w14:paraId="3E81429C" w14:textId="5F3C9C0A" w:rsidR="00286EE5" w:rsidRPr="0013778A" w:rsidRDefault="00286EE5">
      <w:pPr>
        <w:pStyle w:val="Prrafodelista"/>
        <w:numPr>
          <w:ilvl w:val="0"/>
          <w:numId w:val="8"/>
        </w:numPr>
        <w:ind w:left="1854"/>
      </w:pPr>
      <w:r w:rsidRPr="00FE6C3B">
        <w:t xml:space="preserve">MC volumen 8 8.502.2 Determinación de Humedad </w:t>
      </w:r>
      <w:proofErr w:type="spellStart"/>
      <w:r w:rsidRPr="00FE6C3B">
        <w:t>in-situ</w:t>
      </w:r>
      <w:proofErr w:type="spellEnd"/>
      <w:r w:rsidRPr="00FE6C3B">
        <w:t xml:space="preserve">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47B71"/>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31828"/>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9AD65-7C2A-45E8-978C-61328DCEBE9E}"/>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23</cp:revision>
  <cp:lastPrinted>2019-01-10T17:32:00Z</cp:lastPrinted>
  <dcterms:created xsi:type="dcterms:W3CDTF">2021-10-16T02:10:00Z</dcterms:created>
  <dcterms:modified xsi:type="dcterms:W3CDTF">2025-02-12T12:18:00Z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